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741" w:rsidRDefault="00EC2741" w:rsidP="008E7368">
      <w:pPr>
        <w:spacing w:line="360" w:lineRule="auto"/>
        <w:jc w:val="both"/>
        <w:rPr>
          <w:rFonts w:ascii="Arial" w:hAnsi="Arial" w:cs="Arial"/>
          <w:b/>
          <w:sz w:val="24"/>
          <w:szCs w:val="24"/>
        </w:rPr>
      </w:pPr>
      <w:r w:rsidRPr="00EC2741">
        <w:rPr>
          <w:rFonts w:ascii="Arial" w:hAnsi="Arial" w:cs="Arial"/>
          <w:b/>
          <w:noProof/>
          <w:sz w:val="24"/>
          <w:szCs w:val="24"/>
          <w:lang w:eastAsia="es-MX"/>
        </w:rPr>
        <w:drawing>
          <wp:anchor distT="0" distB="0" distL="114300" distR="114300" simplePos="0" relativeHeight="251659264" behindDoc="1" locked="0" layoutInCell="1" allowOverlap="1" wp14:anchorId="320E207F" wp14:editId="63018532">
            <wp:simplePos x="0" y="0"/>
            <wp:positionH relativeFrom="column">
              <wp:posOffset>5044440</wp:posOffset>
            </wp:positionH>
            <wp:positionV relativeFrom="paragraph">
              <wp:posOffset>-137795</wp:posOffset>
            </wp:positionV>
            <wp:extent cx="895350" cy="895350"/>
            <wp:effectExtent l="0" t="0" r="0"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pan.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95350" cy="895350"/>
                    </a:xfrm>
                    <a:prstGeom prst="rect">
                      <a:avLst/>
                    </a:prstGeom>
                  </pic:spPr>
                </pic:pic>
              </a:graphicData>
            </a:graphic>
            <wp14:sizeRelH relativeFrom="page">
              <wp14:pctWidth>0</wp14:pctWidth>
            </wp14:sizeRelH>
            <wp14:sizeRelV relativeFrom="page">
              <wp14:pctHeight>0</wp14:pctHeight>
            </wp14:sizeRelV>
          </wp:anchor>
        </w:drawing>
      </w:r>
      <w:r w:rsidRPr="00EC2741">
        <w:rPr>
          <w:rFonts w:ascii="Arial" w:hAnsi="Arial" w:cs="Arial"/>
          <w:b/>
          <w:noProof/>
          <w:sz w:val="24"/>
          <w:szCs w:val="24"/>
          <w:lang w:eastAsia="es-MX"/>
        </w:rPr>
        <w:drawing>
          <wp:anchor distT="0" distB="0" distL="114300" distR="114300" simplePos="0" relativeHeight="251660288" behindDoc="0" locked="0" layoutInCell="1" allowOverlap="1" wp14:anchorId="1052F577" wp14:editId="599F8E33">
            <wp:simplePos x="0" y="0"/>
            <wp:positionH relativeFrom="column">
              <wp:posOffset>1796415</wp:posOffset>
            </wp:positionH>
            <wp:positionV relativeFrom="paragraph">
              <wp:posOffset>-175895</wp:posOffset>
            </wp:positionV>
            <wp:extent cx="1403985" cy="956310"/>
            <wp:effectExtent l="0" t="0" r="5715" b="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b="22632"/>
                    <a:stretch>
                      <a:fillRect/>
                    </a:stretch>
                  </pic:blipFill>
                  <pic:spPr bwMode="auto">
                    <a:xfrm>
                      <a:off x="0" y="0"/>
                      <a:ext cx="1403985" cy="95631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EC2741">
        <w:rPr>
          <w:rFonts w:ascii="Arial" w:hAnsi="Arial" w:cs="Arial"/>
          <w:b/>
          <w:noProof/>
          <w:sz w:val="24"/>
          <w:szCs w:val="24"/>
          <w:lang w:eastAsia="es-MX"/>
        </w:rPr>
        <w:drawing>
          <wp:anchor distT="0" distB="0" distL="114300" distR="114300" simplePos="0" relativeHeight="251661312" behindDoc="0" locked="0" layoutInCell="1" allowOverlap="1" wp14:anchorId="1C4E1E6E" wp14:editId="7BF2204C">
            <wp:simplePos x="0" y="0"/>
            <wp:positionH relativeFrom="column">
              <wp:posOffset>-280035</wp:posOffset>
            </wp:positionH>
            <wp:positionV relativeFrom="paragraph">
              <wp:posOffset>-137795</wp:posOffset>
            </wp:positionV>
            <wp:extent cx="675005" cy="877570"/>
            <wp:effectExtent l="0" t="0" r="0" b="0"/>
            <wp:wrapTopAndBottom/>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de yucatan.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75005" cy="877570"/>
                    </a:xfrm>
                    <a:prstGeom prst="rect">
                      <a:avLst/>
                    </a:prstGeom>
                  </pic:spPr>
                </pic:pic>
              </a:graphicData>
            </a:graphic>
            <wp14:sizeRelH relativeFrom="page">
              <wp14:pctWidth>0</wp14:pctWidth>
            </wp14:sizeRelH>
            <wp14:sizeRelV relativeFrom="page">
              <wp14:pctHeight>0</wp14:pctHeight>
            </wp14:sizeRelV>
          </wp:anchor>
        </w:drawing>
      </w:r>
      <w:r w:rsidRPr="00EC2741">
        <w:rPr>
          <w:rFonts w:ascii="Arial" w:hAnsi="Arial" w:cs="Arial"/>
          <w:b/>
          <w:noProof/>
          <w:sz w:val="24"/>
          <w:szCs w:val="24"/>
          <w:lang w:eastAsia="es-MX"/>
        </w:rPr>
        <mc:AlternateContent>
          <mc:Choice Requires="wps">
            <w:drawing>
              <wp:anchor distT="0" distB="0" distL="114300" distR="114300" simplePos="0" relativeHeight="251662336" behindDoc="0" locked="0" layoutInCell="1" allowOverlap="1" wp14:anchorId="052D0C09" wp14:editId="2C337410">
                <wp:simplePos x="0" y="0"/>
                <wp:positionH relativeFrom="column">
                  <wp:posOffset>300990</wp:posOffset>
                </wp:positionH>
                <wp:positionV relativeFrom="paragraph">
                  <wp:posOffset>-23495</wp:posOffset>
                </wp:positionV>
                <wp:extent cx="1866900" cy="685800"/>
                <wp:effectExtent l="0" t="0" r="0" b="0"/>
                <wp:wrapTopAndBottom/>
                <wp:docPr id="8" name="8 Cuadro de texto"/>
                <wp:cNvGraphicFramePr/>
                <a:graphic xmlns:a="http://schemas.openxmlformats.org/drawingml/2006/main">
                  <a:graphicData uri="http://schemas.microsoft.com/office/word/2010/wordprocessingShape">
                    <wps:wsp>
                      <wps:cNvSpPr txBox="1"/>
                      <wps:spPr>
                        <a:xfrm>
                          <a:off x="0" y="0"/>
                          <a:ext cx="186690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C2741" w:rsidRPr="00BC4BCE" w:rsidRDefault="00EC2741" w:rsidP="00EC2741">
                            <w:pPr>
                              <w:spacing w:after="0"/>
                              <w:jc w:val="center"/>
                              <w:rPr>
                                <w:rFonts w:ascii="Arial" w:hAnsi="Arial" w:cs="Arial"/>
                                <w:b/>
                              </w:rPr>
                            </w:pPr>
                            <w:r w:rsidRPr="00BC4BCE">
                              <w:rPr>
                                <w:rFonts w:ascii="Arial" w:hAnsi="Arial" w:cs="Arial"/>
                                <w:b/>
                              </w:rPr>
                              <w:t>H. CONGRESO DEL ESTADO DE YUCATÁN</w:t>
                            </w:r>
                          </w:p>
                          <w:p w:rsidR="00EC2741" w:rsidRPr="00BC4BCE" w:rsidRDefault="00EC2741" w:rsidP="00EC2741">
                            <w:pPr>
                              <w:spacing w:after="0"/>
                              <w:jc w:val="center"/>
                              <w:rPr>
                                <w:rFonts w:ascii="Arial" w:hAnsi="Arial" w:cs="Arial"/>
                              </w:rPr>
                            </w:pPr>
                            <w:r>
                              <w:rPr>
                                <w:rFonts w:ascii="Arial" w:hAnsi="Arial" w:cs="Arial"/>
                              </w:rPr>
                              <w:t>LXII Legislatura</w:t>
                            </w:r>
                            <w:r w:rsidRPr="00BC4BCE">
                              <w:rPr>
                                <w:rFonts w:ascii="Arial" w:hAnsi="Arial" w:cs="Arial"/>
                                <w:sz w:val="20"/>
                              </w:rPr>
                              <w:t xml:space="preserve"> 2018-2021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8 Cuadro de texto" o:spid="_x0000_s1026" type="#_x0000_t202" style="position:absolute;left:0;text-align:left;margin-left:23.7pt;margin-top:-1.85pt;width:147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" filled="f" stroked="f" strokeweight=".5pt">
                <v:textbox>
                  <w:txbxContent>
                    <w:p w:rsidR="00EC2741" w:rsidRPr="00BC4BCE" w:rsidRDefault="00EC2741" w:rsidP="00EC2741">
                      <w:pPr>
                        <w:spacing w:after="0"/>
                        <w:jc w:val="center"/>
                        <w:rPr>
                          <w:rFonts w:ascii="Arial" w:hAnsi="Arial" w:cs="Arial"/>
                          <w:b/>
                        </w:rPr>
                      </w:pPr>
                      <w:r w:rsidRPr="00BC4BCE">
                        <w:rPr>
                          <w:rFonts w:ascii="Arial" w:hAnsi="Arial" w:cs="Arial"/>
                          <w:b/>
                        </w:rPr>
                        <w:t>H. CONGRESO DEL ESTADO DE YUCATÁN</w:t>
                      </w:r>
                    </w:p>
                    <w:p w:rsidR="00EC2741" w:rsidRPr="00BC4BCE" w:rsidRDefault="00EC2741" w:rsidP="00EC2741">
                      <w:pPr>
                        <w:spacing w:after="0"/>
                        <w:jc w:val="center"/>
                        <w:rPr>
                          <w:rFonts w:ascii="Arial" w:hAnsi="Arial" w:cs="Arial"/>
                        </w:rPr>
                      </w:pPr>
                      <w:r>
                        <w:rPr>
                          <w:rFonts w:ascii="Arial" w:hAnsi="Arial" w:cs="Arial"/>
                        </w:rPr>
                        <w:t>LXII Legislatura</w:t>
                      </w:r>
                      <w:r w:rsidRPr="00BC4BCE">
                        <w:rPr>
                          <w:rFonts w:ascii="Arial" w:hAnsi="Arial" w:cs="Arial"/>
                          <w:sz w:val="20"/>
                        </w:rPr>
                        <w:t xml:space="preserve"> 2018-2021</w:t>
                      </w:r>
                    </w:p>
                  </w:txbxContent>
                </v:textbox>
                <w10:wrap type="topAndBottom"/>
              </v:shape>
            </w:pict>
          </mc:Fallback>
        </mc:AlternateContent>
      </w:r>
    </w:p>
    <w:p w:rsidR="00CE2F19" w:rsidRDefault="008E7368" w:rsidP="00CE2F19">
      <w:pPr>
        <w:spacing w:line="360" w:lineRule="auto"/>
        <w:jc w:val="both"/>
        <w:rPr>
          <w:rFonts w:ascii="Arial" w:hAnsi="Arial" w:cs="Arial"/>
          <w:b/>
          <w:sz w:val="24"/>
          <w:szCs w:val="24"/>
        </w:rPr>
      </w:pPr>
      <w:r w:rsidRPr="00CE2F19">
        <w:rPr>
          <w:rFonts w:ascii="Arial" w:hAnsi="Arial" w:cs="Arial"/>
          <w:b/>
          <w:sz w:val="24"/>
          <w:szCs w:val="24"/>
        </w:rPr>
        <w:t>H. CONGRESO DEL ESTADO DE YUCATAN</w:t>
      </w:r>
      <w:bookmarkStart w:id="0" w:name="_GoBack"/>
      <w:bookmarkEnd w:id="0"/>
    </w:p>
    <w:p w:rsidR="008E7368" w:rsidRPr="00CE2F19" w:rsidRDefault="008E7368" w:rsidP="00CE2F19">
      <w:pPr>
        <w:spacing w:line="360" w:lineRule="auto"/>
        <w:jc w:val="both"/>
        <w:rPr>
          <w:rFonts w:ascii="Arial" w:hAnsi="Arial" w:cs="Arial"/>
          <w:sz w:val="24"/>
          <w:szCs w:val="24"/>
        </w:rPr>
      </w:pPr>
      <w:r w:rsidRPr="00CE2F19">
        <w:rPr>
          <w:rFonts w:ascii="Arial" w:hAnsi="Arial" w:cs="Arial"/>
          <w:sz w:val="24"/>
          <w:szCs w:val="24"/>
        </w:rPr>
        <w:t xml:space="preserve">Con fundamento en lo establecido por los artículos 35 fracción I de la Constitución Política del Estado de Yucatán; 16 y 22 fracción VI de la Ley de Gobierno del Poder Legislativo y 68 y 69 del Reglamento de la Ley de Gobierno del Poder Legislativo, ambas del Estado de Yucatán, la que suscribe, </w:t>
      </w:r>
      <w:r w:rsidRPr="00CE2F19">
        <w:rPr>
          <w:rFonts w:ascii="Arial" w:hAnsi="Arial" w:cs="Arial"/>
          <w:b/>
          <w:sz w:val="24"/>
          <w:szCs w:val="24"/>
        </w:rPr>
        <w:t xml:space="preserve">Diputada Rosa Adriana Díaz Lizama </w:t>
      </w:r>
      <w:r w:rsidRPr="00CE2F19">
        <w:rPr>
          <w:rFonts w:ascii="Arial" w:hAnsi="Arial" w:cs="Arial"/>
          <w:sz w:val="24"/>
          <w:szCs w:val="24"/>
        </w:rPr>
        <w:t>integrante de la Fracción Legislativa del Partido Acción Nacional de esta LXII</w:t>
      </w:r>
      <w:r w:rsidR="00EF3D69" w:rsidRPr="00CE2F19">
        <w:rPr>
          <w:rFonts w:ascii="Arial" w:hAnsi="Arial" w:cs="Arial"/>
          <w:sz w:val="24"/>
          <w:szCs w:val="24"/>
        </w:rPr>
        <w:t xml:space="preserve"> Legislatura, someto</w:t>
      </w:r>
      <w:r w:rsidRPr="00CE2F19">
        <w:rPr>
          <w:rFonts w:ascii="Arial" w:hAnsi="Arial" w:cs="Arial"/>
          <w:sz w:val="24"/>
          <w:szCs w:val="24"/>
        </w:rPr>
        <w:t xml:space="preserve"> a la consideración de esta Honorable Soberanía, la presente iniciativa con Proyecto de decreto por el que al tenor de la siguiente:</w:t>
      </w:r>
    </w:p>
    <w:p w:rsidR="003D5FAC" w:rsidRPr="00CE2F19" w:rsidRDefault="006C10BE" w:rsidP="00CE2F19">
      <w:pPr>
        <w:spacing w:line="360" w:lineRule="auto"/>
        <w:jc w:val="center"/>
        <w:rPr>
          <w:rFonts w:ascii="Arial" w:hAnsi="Arial" w:cs="Arial"/>
          <w:b/>
          <w:sz w:val="24"/>
          <w:szCs w:val="24"/>
        </w:rPr>
      </w:pPr>
      <w:r w:rsidRPr="00CE2F19">
        <w:rPr>
          <w:rFonts w:ascii="Arial" w:hAnsi="Arial" w:cs="Arial"/>
          <w:b/>
          <w:sz w:val="24"/>
          <w:szCs w:val="24"/>
        </w:rPr>
        <w:t>EXPOSICIÓN DE MOTIVOS</w:t>
      </w:r>
    </w:p>
    <w:p w:rsidR="007C7086" w:rsidRPr="00CE2F19" w:rsidRDefault="007C7086" w:rsidP="00CE2F19">
      <w:pPr>
        <w:spacing w:line="360" w:lineRule="auto"/>
        <w:jc w:val="both"/>
        <w:rPr>
          <w:rFonts w:ascii="Arial" w:hAnsi="Arial" w:cs="Arial"/>
          <w:sz w:val="24"/>
          <w:szCs w:val="24"/>
          <w:shd w:val="clear" w:color="auto" w:fill="FFFFFF"/>
        </w:rPr>
      </w:pPr>
      <w:r w:rsidRPr="00CE2F19">
        <w:rPr>
          <w:rFonts w:ascii="Arial" w:hAnsi="Arial" w:cs="Arial"/>
          <w:sz w:val="24"/>
          <w:szCs w:val="24"/>
          <w:shd w:val="clear" w:color="auto" w:fill="FFFFFF"/>
        </w:rPr>
        <w:t>La vejez se considera una etapa vulnerable de la vida por múltiples razones, como lo son el deterioro de la salud, la economía, el patrimonio, la desigualdad, la discriminación, el abandono y la falta de cuidados.</w:t>
      </w:r>
    </w:p>
    <w:p w:rsidR="007C7086" w:rsidRPr="00CE2F19" w:rsidRDefault="007C7086" w:rsidP="00CE2F19">
      <w:pPr>
        <w:spacing w:line="360" w:lineRule="auto"/>
        <w:jc w:val="both"/>
        <w:rPr>
          <w:rFonts w:ascii="Arial" w:hAnsi="Arial" w:cs="Arial"/>
          <w:sz w:val="24"/>
          <w:szCs w:val="24"/>
          <w:shd w:val="clear" w:color="auto" w:fill="FFFFFF"/>
        </w:rPr>
      </w:pPr>
      <w:r w:rsidRPr="00CE2F19">
        <w:rPr>
          <w:rFonts w:ascii="Arial" w:hAnsi="Arial" w:cs="Arial"/>
          <w:sz w:val="24"/>
          <w:szCs w:val="24"/>
          <w:shd w:val="clear" w:color="auto" w:fill="FFFFFF"/>
        </w:rPr>
        <w:t>El envejecimiento es un progresivo declive en las funciones orgánicas y psicológicas, como la perdida de las capacidades sensoriales y cognitivas que se presentan de manera única y diferente en cada individuo.</w:t>
      </w:r>
    </w:p>
    <w:p w:rsidR="007C7086" w:rsidRPr="00CE2F19" w:rsidRDefault="007C7086" w:rsidP="00CE2F19">
      <w:pPr>
        <w:shd w:val="clear" w:color="auto" w:fill="FFFFFF"/>
        <w:spacing w:before="100" w:beforeAutospacing="1" w:after="100" w:afterAutospacing="1" w:line="360" w:lineRule="auto"/>
        <w:jc w:val="both"/>
        <w:rPr>
          <w:rFonts w:ascii="Arial" w:hAnsi="Arial" w:cs="Arial"/>
          <w:color w:val="000000"/>
          <w:sz w:val="24"/>
          <w:szCs w:val="24"/>
          <w:lang w:eastAsia="es-ES"/>
        </w:rPr>
      </w:pPr>
      <w:r w:rsidRPr="00CE2F19">
        <w:rPr>
          <w:rFonts w:ascii="Arial" w:hAnsi="Arial" w:cs="Arial"/>
          <w:color w:val="000000"/>
          <w:sz w:val="24"/>
          <w:szCs w:val="24"/>
          <w:lang w:eastAsia="es-ES"/>
        </w:rPr>
        <w:t xml:space="preserve">Las Naciones Unidas consideran como adulto mayor a toda persona de 65 años o más para los países desarrollados y a partir de 60 para los países en desarrollo. </w:t>
      </w:r>
    </w:p>
    <w:p w:rsidR="007C7086" w:rsidRPr="00CE2F19" w:rsidRDefault="007C7086" w:rsidP="00CE2F19">
      <w:pPr>
        <w:shd w:val="clear" w:color="auto" w:fill="FFFFFF"/>
        <w:spacing w:before="100" w:beforeAutospacing="1" w:after="100" w:afterAutospacing="1" w:line="360" w:lineRule="auto"/>
        <w:jc w:val="both"/>
        <w:rPr>
          <w:rFonts w:ascii="Arial" w:hAnsi="Arial" w:cs="Arial"/>
          <w:color w:val="000000"/>
          <w:sz w:val="24"/>
          <w:szCs w:val="24"/>
          <w:lang w:eastAsia="es-ES"/>
        </w:rPr>
      </w:pPr>
      <w:r w:rsidRPr="00CE2F19">
        <w:rPr>
          <w:rFonts w:ascii="Arial" w:hAnsi="Arial" w:cs="Arial"/>
          <w:color w:val="000000"/>
          <w:sz w:val="24"/>
          <w:szCs w:val="24"/>
          <w:lang w:eastAsia="es-ES"/>
        </w:rPr>
        <w:t>Según estimaciones de la Organización Mundial de la Salud, entre los años 2015 y 2050 el porcentaje de los habitantes del planeta mayores de 60 años casi se duplicará, pasando de 12% al 22% de la población.</w:t>
      </w:r>
    </w:p>
    <w:p w:rsidR="007C7086" w:rsidRPr="00CE2F19" w:rsidRDefault="007C7086" w:rsidP="00CE2F19">
      <w:pPr>
        <w:spacing w:line="360" w:lineRule="auto"/>
        <w:jc w:val="both"/>
        <w:rPr>
          <w:rFonts w:ascii="Arial" w:hAnsi="Arial" w:cs="Arial"/>
          <w:sz w:val="24"/>
          <w:szCs w:val="24"/>
          <w:shd w:val="clear" w:color="auto" w:fill="FFFFFF"/>
        </w:rPr>
      </w:pPr>
      <w:r w:rsidRPr="00CE2F19">
        <w:rPr>
          <w:rFonts w:ascii="Arial" w:hAnsi="Arial" w:cs="Arial"/>
          <w:sz w:val="24"/>
          <w:szCs w:val="24"/>
          <w:shd w:val="clear" w:color="auto" w:fill="FFFFFF"/>
        </w:rPr>
        <w:t xml:space="preserve">La buena calidad de vida en las personas mayores es posible y las probabilidades de envejecer saludablemente se incrementan con los avances científicos, </w:t>
      </w:r>
      <w:r w:rsidRPr="00CE2F19">
        <w:rPr>
          <w:rFonts w:ascii="Arial" w:hAnsi="Arial" w:cs="Arial"/>
          <w:sz w:val="24"/>
          <w:szCs w:val="24"/>
          <w:shd w:val="clear" w:color="auto" w:fill="FFFFFF"/>
        </w:rPr>
        <w:lastRenderedPageBreak/>
        <w:t xml:space="preserve">tecnológicos y médicos del siglo XXI, una adecuada alimentación y la activación física. </w:t>
      </w:r>
    </w:p>
    <w:p w:rsidR="007C7086" w:rsidRPr="009879D3" w:rsidRDefault="007C7086" w:rsidP="00CE2F19">
      <w:pPr>
        <w:spacing w:line="360" w:lineRule="auto"/>
        <w:jc w:val="both"/>
        <w:rPr>
          <w:rFonts w:ascii="Arial" w:hAnsi="Arial" w:cs="Arial"/>
          <w:sz w:val="24"/>
          <w:szCs w:val="24"/>
          <w:shd w:val="clear" w:color="auto" w:fill="FFFFFF"/>
        </w:rPr>
      </w:pPr>
      <w:r w:rsidRPr="00CE2F19">
        <w:rPr>
          <w:rFonts w:ascii="Arial" w:hAnsi="Arial" w:cs="Arial"/>
          <w:sz w:val="24"/>
          <w:szCs w:val="24"/>
          <w:shd w:val="clear" w:color="auto" w:fill="FFFFFF"/>
        </w:rPr>
        <w:t>Es importante considerar las consecuencias y efectos naturales en cada una de las personas y por tanto la conclusión del ciclo laboral y productivo en cada una de ellas.</w:t>
      </w:r>
    </w:p>
    <w:p w:rsidR="007C7086" w:rsidRPr="00CE2F19" w:rsidRDefault="007C7086" w:rsidP="00CE2F19">
      <w:pPr>
        <w:spacing w:line="360" w:lineRule="auto"/>
        <w:jc w:val="both"/>
        <w:rPr>
          <w:rFonts w:ascii="Arial" w:hAnsi="Arial" w:cs="Arial"/>
          <w:sz w:val="24"/>
          <w:szCs w:val="24"/>
          <w:shd w:val="clear" w:color="auto" w:fill="FFFFFF"/>
        </w:rPr>
      </w:pPr>
      <w:r w:rsidRPr="00CE2F19">
        <w:rPr>
          <w:rFonts w:ascii="Arial" w:hAnsi="Arial" w:cs="Arial"/>
          <w:sz w:val="24"/>
          <w:szCs w:val="24"/>
          <w:shd w:val="clear" w:color="auto" w:fill="FFFFFF"/>
        </w:rPr>
        <w:t>El referido ciclo laboral representa una disminución de las condiciones financieras de cada una de las personas mayores, puesto que, los ingresos suelen ser inferiores a los ingresos percibidos durante la vida laboral, lo que significa la disminución del poder adquisitivo, situación que, sin duda alguna, impacta en el nivel y calidad de vida de las mismas.</w:t>
      </w:r>
    </w:p>
    <w:p w:rsidR="007C7086" w:rsidRPr="00CE2F19" w:rsidRDefault="007C7086" w:rsidP="00CE2F19">
      <w:pPr>
        <w:spacing w:line="360" w:lineRule="auto"/>
        <w:jc w:val="both"/>
        <w:rPr>
          <w:rFonts w:ascii="Arial" w:hAnsi="Arial" w:cs="Arial"/>
          <w:sz w:val="24"/>
          <w:szCs w:val="24"/>
          <w:lang w:eastAsia="es-ES"/>
        </w:rPr>
      </w:pPr>
      <w:r w:rsidRPr="00CE2F19">
        <w:rPr>
          <w:rFonts w:ascii="Arial" w:hAnsi="Arial" w:cs="Arial"/>
          <w:sz w:val="24"/>
          <w:szCs w:val="24"/>
          <w:shd w:val="clear" w:color="auto" w:fill="FFFFFF"/>
        </w:rPr>
        <w:t xml:space="preserve">Debido a lo anterior y </w:t>
      </w:r>
      <w:r w:rsidRPr="00CE2F19">
        <w:rPr>
          <w:rFonts w:ascii="Arial" w:hAnsi="Arial" w:cs="Arial"/>
          <w:sz w:val="24"/>
          <w:szCs w:val="24"/>
          <w:lang w:eastAsia="es-ES"/>
        </w:rPr>
        <w:t>en el ánimo de ordenar y dar certeza a su patrimonio en un eventual fallecimiento, algunas personas mayores deciden realizar la donación del o los bienes inmuebles que lograron adquirir a lo largo de su vida, bien sea a sus hijos, nietos o algún otro familiar.</w:t>
      </w:r>
    </w:p>
    <w:p w:rsidR="007C7086" w:rsidRPr="00CE2F19" w:rsidRDefault="007C7086" w:rsidP="00CE2F19">
      <w:pPr>
        <w:spacing w:line="360" w:lineRule="auto"/>
        <w:jc w:val="both"/>
        <w:rPr>
          <w:rFonts w:ascii="Arial" w:hAnsi="Arial" w:cs="Arial"/>
          <w:sz w:val="24"/>
          <w:szCs w:val="24"/>
        </w:rPr>
      </w:pPr>
      <w:r w:rsidRPr="00CE2F19">
        <w:rPr>
          <w:rFonts w:ascii="Arial" w:hAnsi="Arial" w:cs="Arial"/>
          <w:sz w:val="24"/>
          <w:szCs w:val="24"/>
        </w:rPr>
        <w:t>Si bien es cierto, la o el adulto mayor titular de una propiedad inmueble está legitimado y cuenta con todo el derecho de donar a favor de la o las personas que considere, también es cierto y, muy lamentable, que muchas ocasiones se abusa de la condición y la buena fe de este sector de la población para obtener un beneficio.</w:t>
      </w:r>
    </w:p>
    <w:p w:rsidR="007C7086" w:rsidRPr="00CE2F19" w:rsidRDefault="007C7086" w:rsidP="00CE2F19">
      <w:pPr>
        <w:spacing w:line="360" w:lineRule="auto"/>
        <w:jc w:val="both"/>
        <w:rPr>
          <w:rFonts w:ascii="Arial" w:hAnsi="Arial" w:cs="Arial"/>
          <w:sz w:val="24"/>
          <w:szCs w:val="24"/>
          <w:shd w:val="clear" w:color="auto" w:fill="FFFFFF"/>
        </w:rPr>
      </w:pPr>
      <w:r w:rsidRPr="00CE2F19">
        <w:rPr>
          <w:rFonts w:ascii="Arial" w:hAnsi="Arial" w:cs="Arial"/>
          <w:sz w:val="24"/>
          <w:szCs w:val="24"/>
          <w:shd w:val="clear" w:color="auto" w:fill="FFFFFF"/>
        </w:rPr>
        <w:t xml:space="preserve">De esta manera, como se ha dicho, el día a día de nuestra sociedad muestra una dura y muy triste realidad de nuestros adultos mayores, una vez que donan su patrimonio sobreviene el desinterés y la indiferencia por parte de sus descendientes y demás parientes e inclusive de aquellos quienes se vieron beneficiados mediante la donación; es decir, </w:t>
      </w:r>
      <w:r w:rsidR="00F23E19">
        <w:rPr>
          <w:rFonts w:ascii="Arial" w:hAnsi="Arial" w:cs="Arial"/>
          <w:sz w:val="24"/>
          <w:szCs w:val="24"/>
          <w:shd w:val="clear" w:color="auto" w:fill="FFFFFF"/>
        </w:rPr>
        <w:t>cada vez vemos más de nuestros adultos mayores queda</w:t>
      </w:r>
      <w:r w:rsidRPr="00CE2F19">
        <w:rPr>
          <w:rFonts w:ascii="Arial" w:hAnsi="Arial" w:cs="Arial"/>
          <w:sz w:val="24"/>
          <w:szCs w:val="24"/>
          <w:shd w:val="clear" w:color="auto" w:fill="FFFFFF"/>
        </w:rPr>
        <w:t xml:space="preserve">n en condiciones de </w:t>
      </w:r>
      <w:r w:rsidRPr="00CE2F19">
        <w:rPr>
          <w:rFonts w:ascii="Arial" w:hAnsi="Arial" w:cs="Arial"/>
          <w:sz w:val="24"/>
          <w:szCs w:val="24"/>
          <w:lang w:eastAsia="es-ES"/>
        </w:rPr>
        <w:t>desamparo</w:t>
      </w:r>
      <w:r w:rsidRPr="00CE2F19">
        <w:rPr>
          <w:rFonts w:ascii="Arial" w:hAnsi="Arial" w:cs="Arial"/>
          <w:sz w:val="24"/>
          <w:szCs w:val="24"/>
          <w:shd w:val="clear" w:color="auto" w:fill="FFFFFF"/>
        </w:rPr>
        <w:t xml:space="preserve"> total.</w:t>
      </w:r>
    </w:p>
    <w:p w:rsidR="007C7086" w:rsidRPr="009879D3" w:rsidRDefault="007C7086" w:rsidP="00CE2F19">
      <w:pPr>
        <w:spacing w:line="360" w:lineRule="auto"/>
        <w:jc w:val="both"/>
        <w:rPr>
          <w:rFonts w:ascii="Arial" w:hAnsi="Arial" w:cs="Arial"/>
          <w:sz w:val="24"/>
          <w:szCs w:val="24"/>
        </w:rPr>
      </w:pPr>
      <w:r w:rsidRPr="00CE2F19">
        <w:rPr>
          <w:rFonts w:ascii="Arial" w:hAnsi="Arial" w:cs="Arial"/>
          <w:sz w:val="24"/>
          <w:szCs w:val="24"/>
        </w:rPr>
        <w:t xml:space="preserve">En la actualidad el </w:t>
      </w:r>
      <w:r w:rsidRPr="00CE2F19">
        <w:rPr>
          <w:rFonts w:ascii="Arial" w:hAnsi="Arial" w:cs="Arial"/>
          <w:sz w:val="24"/>
          <w:szCs w:val="24"/>
          <w:shd w:val="clear" w:color="auto" w:fill="FFFFFF"/>
        </w:rPr>
        <w:t>Código Civil</w:t>
      </w:r>
      <w:r w:rsidRPr="00CE2F19">
        <w:rPr>
          <w:rFonts w:ascii="Arial" w:hAnsi="Arial" w:cs="Arial"/>
          <w:sz w:val="24"/>
          <w:szCs w:val="24"/>
        </w:rPr>
        <w:t xml:space="preserve"> permite que, de ser deseo del donante, se estipule el usufructo vitalicio, es cierto también, que ello queda solamente a elección consensuada, en tanto que, con la propuesta se protege el derecho de la persona </w:t>
      </w:r>
      <w:r w:rsidRPr="00CE2F19">
        <w:rPr>
          <w:rFonts w:ascii="Arial" w:hAnsi="Arial" w:cs="Arial"/>
          <w:sz w:val="24"/>
          <w:szCs w:val="24"/>
        </w:rPr>
        <w:lastRenderedPageBreak/>
        <w:t>adulta mayor a contar con una vivienda en la parte de su vida que mayores desventajas le representa.</w:t>
      </w:r>
    </w:p>
    <w:p w:rsidR="007C7086" w:rsidRPr="00CE2F19" w:rsidRDefault="007C7086" w:rsidP="00F23E19">
      <w:pPr>
        <w:spacing w:line="360" w:lineRule="auto"/>
        <w:ind w:firstLine="708"/>
        <w:jc w:val="both"/>
        <w:rPr>
          <w:rFonts w:ascii="Arial" w:hAnsi="Arial" w:cs="Arial"/>
          <w:sz w:val="24"/>
          <w:szCs w:val="24"/>
          <w:shd w:val="clear" w:color="auto" w:fill="FFFFFF"/>
        </w:rPr>
      </w:pPr>
      <w:r w:rsidRPr="00CE2F19">
        <w:rPr>
          <w:rFonts w:ascii="Arial" w:hAnsi="Arial" w:cs="Arial"/>
          <w:sz w:val="24"/>
          <w:szCs w:val="24"/>
          <w:shd w:val="clear" w:color="auto" w:fill="FFFFFF"/>
        </w:rPr>
        <w:t>Además, que, las donaciones pueden ser revocadas por ingratitud, tal y com</w:t>
      </w:r>
      <w:r w:rsidR="00F23E19">
        <w:rPr>
          <w:rFonts w:ascii="Arial" w:hAnsi="Arial" w:cs="Arial"/>
          <w:sz w:val="24"/>
          <w:szCs w:val="24"/>
          <w:shd w:val="clear" w:color="auto" w:fill="FFFFFF"/>
        </w:rPr>
        <w:t>o lo establece el artículo 1511</w:t>
      </w:r>
      <w:r w:rsidRPr="00CE2F19">
        <w:rPr>
          <w:rFonts w:ascii="Arial" w:hAnsi="Arial" w:cs="Arial"/>
          <w:sz w:val="24"/>
          <w:szCs w:val="24"/>
          <w:shd w:val="clear" w:color="auto" w:fill="FFFFFF"/>
        </w:rPr>
        <w:t xml:space="preserve"> del Código Civil de nuestra entidad, no se establece en algún otro precepto que el notario tenga la facultad de establecer en el contrato de donación el usufructo vitalicio cuando el donante o su cónyuge, sea una persona mayor de 65 años.</w:t>
      </w:r>
    </w:p>
    <w:p w:rsidR="007C7086" w:rsidRPr="00CE2F19" w:rsidRDefault="007C7086" w:rsidP="00F23E19">
      <w:pPr>
        <w:spacing w:line="360" w:lineRule="auto"/>
        <w:ind w:firstLine="708"/>
        <w:jc w:val="both"/>
        <w:rPr>
          <w:rFonts w:ascii="Arial" w:hAnsi="Arial" w:cs="Arial"/>
          <w:sz w:val="24"/>
          <w:szCs w:val="24"/>
          <w:lang w:eastAsia="es-ES"/>
        </w:rPr>
      </w:pPr>
      <w:r w:rsidRPr="00CE2F19">
        <w:rPr>
          <w:rFonts w:ascii="Arial" w:hAnsi="Arial" w:cs="Arial"/>
          <w:sz w:val="24"/>
          <w:szCs w:val="24"/>
          <w:lang w:eastAsia="es-ES"/>
        </w:rPr>
        <w:t>Nuestro deber como legisladores, es la creación y modificación de leyes que contribuyan a salvaguardar la integridad y el patrimonio de todas las personas,</w:t>
      </w:r>
      <w:r w:rsidR="00F23E19">
        <w:rPr>
          <w:rFonts w:ascii="Arial" w:hAnsi="Arial" w:cs="Arial"/>
          <w:sz w:val="24"/>
          <w:szCs w:val="24"/>
          <w:lang w:eastAsia="es-ES"/>
        </w:rPr>
        <w:t xml:space="preserve"> con esta propuesta buscamos </w:t>
      </w:r>
      <w:r w:rsidRPr="00CE2F19">
        <w:rPr>
          <w:rFonts w:ascii="Arial" w:hAnsi="Arial" w:cs="Arial"/>
          <w:sz w:val="24"/>
          <w:szCs w:val="24"/>
          <w:lang w:eastAsia="es-ES"/>
        </w:rPr>
        <w:t xml:space="preserve"> garantizar el disfrute de los bienes de las personas mayores mientras se encuentren con vida.</w:t>
      </w:r>
    </w:p>
    <w:p w:rsidR="007C7086" w:rsidRPr="00CE2F19" w:rsidRDefault="007C7086" w:rsidP="00F23E19">
      <w:pPr>
        <w:spacing w:line="360" w:lineRule="auto"/>
        <w:ind w:firstLine="708"/>
        <w:jc w:val="both"/>
        <w:rPr>
          <w:rFonts w:ascii="Arial" w:hAnsi="Arial" w:cs="Arial"/>
          <w:sz w:val="24"/>
          <w:szCs w:val="24"/>
          <w:lang w:eastAsia="es-ES"/>
        </w:rPr>
      </w:pPr>
      <w:r w:rsidRPr="00CE2F19">
        <w:rPr>
          <w:rFonts w:ascii="Arial" w:hAnsi="Arial" w:cs="Arial"/>
          <w:sz w:val="24"/>
          <w:szCs w:val="24"/>
        </w:rPr>
        <w:t>Esta propuesta, resulta proporcional y razonable con relación a la libre disposición de los bienes y a la liberalidad contractual, en virtud de que el usufructo vitalicio no restringe a la primera ni condiciona a la segunda, sino que, privilegia el derecho de la persona adulta mayor de seguir gozando de los bienes inmuebles que durante el transcurso de su vida logró conformar como parte de su patrimonio.</w:t>
      </w:r>
    </w:p>
    <w:p w:rsidR="007C7086" w:rsidRPr="00CE2F19" w:rsidRDefault="007C7086" w:rsidP="009879D3">
      <w:pPr>
        <w:pStyle w:val="NormalWeb"/>
        <w:spacing w:after="0" w:line="360" w:lineRule="auto"/>
        <w:ind w:leftChars="0" w:left="0" w:firstLineChars="0" w:firstLine="708"/>
        <w:jc w:val="both"/>
        <w:rPr>
          <w:rFonts w:ascii="Arial" w:hAnsi="Arial" w:cs="Arial"/>
        </w:rPr>
      </w:pPr>
      <w:r w:rsidRPr="00CE2F19">
        <w:rPr>
          <w:rFonts w:ascii="Arial" w:hAnsi="Arial" w:cs="Arial"/>
        </w:rPr>
        <w:t>Es decir, con tal medida se limita y previene que algunas personas que se ubiquen en tal sector de la población puedan ser víctimas de engaños o de abusos, así el Estado privilegia su protección, por lo que resulta razonable que con apoyo del Notario Público se vigile y garantice el usufructo vitalicio del inmueble objeto de la donación a fin de proteger a las personas adultas mayores del completo abandono y garantizarles el derecho a una vivienda digna y/o en su caso ingresos por el arrendamiento del mismo.</w:t>
      </w:r>
    </w:p>
    <w:p w:rsidR="008E7368" w:rsidRPr="00CE2F19" w:rsidRDefault="008E7368" w:rsidP="00CE2F19">
      <w:pPr>
        <w:spacing w:after="0" w:line="360" w:lineRule="auto"/>
        <w:ind w:firstLine="708"/>
        <w:jc w:val="both"/>
        <w:rPr>
          <w:rFonts w:ascii="Arial" w:hAnsi="Arial" w:cs="Arial"/>
          <w:sz w:val="24"/>
          <w:szCs w:val="24"/>
        </w:rPr>
      </w:pPr>
      <w:r w:rsidRPr="00CE2F19">
        <w:rPr>
          <w:rFonts w:ascii="Arial" w:hAnsi="Arial" w:cs="Arial"/>
          <w:sz w:val="24"/>
          <w:szCs w:val="24"/>
        </w:rPr>
        <w:t>Por lo anteriormente expuesto y fundado, me permito someter a consideración de esta</w:t>
      </w:r>
      <w:r w:rsidR="00CE2F19" w:rsidRPr="00CE2F19">
        <w:rPr>
          <w:rFonts w:ascii="Arial" w:hAnsi="Arial" w:cs="Arial"/>
          <w:sz w:val="24"/>
          <w:szCs w:val="24"/>
        </w:rPr>
        <w:t xml:space="preserve"> Soberanía el siguiente:</w:t>
      </w:r>
    </w:p>
    <w:p w:rsidR="008E7368" w:rsidRDefault="008E7368" w:rsidP="008E7368">
      <w:pPr>
        <w:spacing w:after="0" w:line="360" w:lineRule="auto"/>
        <w:ind w:firstLine="708"/>
        <w:jc w:val="both"/>
        <w:rPr>
          <w:rFonts w:ascii="Arial" w:hAnsi="Arial" w:cs="Arial"/>
          <w:sz w:val="24"/>
        </w:rPr>
      </w:pPr>
    </w:p>
    <w:p w:rsidR="00CE2F19" w:rsidRPr="00CE2F19" w:rsidRDefault="00CE2F19" w:rsidP="00CE2F19">
      <w:pPr>
        <w:spacing w:line="360" w:lineRule="auto"/>
        <w:ind w:hanging="2"/>
        <w:jc w:val="both"/>
        <w:rPr>
          <w:rFonts w:ascii="Arial" w:hAnsi="Arial" w:cs="Arial"/>
          <w:b/>
          <w:sz w:val="24"/>
          <w:szCs w:val="24"/>
        </w:rPr>
      </w:pPr>
      <w:r w:rsidRPr="00CE2F19">
        <w:rPr>
          <w:rFonts w:ascii="Arial" w:eastAsia="Arial" w:hAnsi="Arial" w:cs="Arial"/>
          <w:b/>
          <w:sz w:val="24"/>
          <w:szCs w:val="24"/>
        </w:rPr>
        <w:lastRenderedPageBreak/>
        <w:t xml:space="preserve">DECRETO MEDIANTE EL CUAL </w:t>
      </w:r>
      <w:r w:rsidRPr="00CE2F19">
        <w:rPr>
          <w:rFonts w:ascii="Arial" w:hAnsi="Arial" w:cs="Arial"/>
          <w:b/>
          <w:sz w:val="24"/>
          <w:szCs w:val="24"/>
        </w:rPr>
        <w:t>SE ADICIONA UN SEGUNDO</w:t>
      </w:r>
      <w:r w:rsidRPr="00CE2F19">
        <w:rPr>
          <w:rFonts w:ascii="Arial" w:hAnsi="Arial" w:cs="Arial"/>
          <w:b/>
          <w:sz w:val="24"/>
          <w:szCs w:val="24"/>
        </w:rPr>
        <w:t xml:space="preserve"> PÁRRAFO AL ARTÍCULO 1488</w:t>
      </w:r>
      <w:r w:rsidRPr="00CE2F19">
        <w:rPr>
          <w:rFonts w:ascii="Arial" w:hAnsi="Arial" w:cs="Arial"/>
          <w:b/>
          <w:sz w:val="24"/>
          <w:szCs w:val="24"/>
        </w:rPr>
        <w:t xml:space="preserve"> </w:t>
      </w:r>
      <w:bookmarkStart w:id="1" w:name="_Hlk45652224"/>
      <w:r w:rsidRPr="00CE2F19">
        <w:rPr>
          <w:rFonts w:ascii="Arial" w:hAnsi="Arial" w:cs="Arial"/>
          <w:b/>
          <w:sz w:val="24"/>
          <w:szCs w:val="24"/>
        </w:rPr>
        <w:t>D</w:t>
      </w:r>
      <w:r w:rsidRPr="00CE2F19">
        <w:rPr>
          <w:rFonts w:ascii="Arial" w:hAnsi="Arial" w:cs="Arial"/>
          <w:b/>
          <w:sz w:val="24"/>
          <w:szCs w:val="24"/>
        </w:rPr>
        <w:t>EL CÓDIGO CIVIL D</w:t>
      </w:r>
      <w:r w:rsidRPr="00CE2F19">
        <w:rPr>
          <w:rFonts w:ascii="Arial" w:hAnsi="Arial" w:cs="Arial"/>
          <w:b/>
          <w:sz w:val="24"/>
          <w:szCs w:val="24"/>
        </w:rPr>
        <w:t xml:space="preserve">EL ESTADO DE </w:t>
      </w:r>
      <w:r w:rsidRPr="00CE2F19">
        <w:rPr>
          <w:rFonts w:ascii="Arial" w:hAnsi="Arial" w:cs="Arial"/>
          <w:b/>
          <w:sz w:val="24"/>
          <w:szCs w:val="24"/>
        </w:rPr>
        <w:t>YUCATÁN</w:t>
      </w:r>
      <w:r w:rsidRPr="00CE2F19">
        <w:rPr>
          <w:rFonts w:ascii="Arial" w:hAnsi="Arial" w:cs="Arial"/>
          <w:b/>
          <w:sz w:val="24"/>
          <w:szCs w:val="24"/>
        </w:rPr>
        <w:t>,</w:t>
      </w:r>
      <w:r w:rsidRPr="00CE2F19">
        <w:rPr>
          <w:sz w:val="24"/>
          <w:szCs w:val="24"/>
        </w:rPr>
        <w:t xml:space="preserve"> </w:t>
      </w:r>
      <w:bookmarkEnd w:id="1"/>
      <w:r w:rsidRPr="00CE2F19">
        <w:rPr>
          <w:rFonts w:ascii="Arial" w:hAnsi="Arial" w:cs="Arial"/>
          <w:b/>
          <w:sz w:val="24"/>
          <w:szCs w:val="24"/>
        </w:rPr>
        <w:t>PARA QUEDAR COMO SIGUE:</w:t>
      </w:r>
    </w:p>
    <w:p w:rsidR="00CE2F19" w:rsidRPr="00CE2F19" w:rsidRDefault="00CE2F19" w:rsidP="009879D3">
      <w:pPr>
        <w:spacing w:line="360" w:lineRule="auto"/>
        <w:ind w:firstLine="708"/>
        <w:jc w:val="both"/>
        <w:rPr>
          <w:rFonts w:ascii="Arial" w:hAnsi="Arial" w:cs="Arial"/>
          <w:b/>
          <w:sz w:val="24"/>
          <w:szCs w:val="24"/>
        </w:rPr>
      </w:pPr>
      <w:r w:rsidRPr="00CE2F19">
        <w:rPr>
          <w:rFonts w:ascii="Arial" w:hAnsi="Arial" w:cs="Arial"/>
          <w:b/>
          <w:sz w:val="24"/>
          <w:szCs w:val="24"/>
        </w:rPr>
        <w:t xml:space="preserve">ÚNICO.- </w:t>
      </w:r>
      <w:r w:rsidRPr="00CE2F19">
        <w:rPr>
          <w:rFonts w:ascii="Arial" w:hAnsi="Arial" w:cs="Arial"/>
          <w:bCs/>
          <w:sz w:val="24"/>
          <w:szCs w:val="24"/>
        </w:rPr>
        <w:t xml:space="preserve">Se adiciona un </w:t>
      </w:r>
      <w:r w:rsidRPr="00CE2F19">
        <w:rPr>
          <w:rFonts w:ascii="Arial" w:hAnsi="Arial" w:cs="Arial"/>
          <w:bCs/>
          <w:sz w:val="24"/>
          <w:szCs w:val="24"/>
        </w:rPr>
        <w:t>segundo párrafo al artículo 1488</w:t>
      </w:r>
      <w:r w:rsidRPr="00CE2F19">
        <w:rPr>
          <w:rFonts w:ascii="Arial" w:hAnsi="Arial" w:cs="Arial"/>
          <w:bCs/>
          <w:sz w:val="24"/>
          <w:szCs w:val="24"/>
        </w:rPr>
        <w:t xml:space="preserve"> del Código C</w:t>
      </w:r>
      <w:r w:rsidRPr="00CE2F19">
        <w:rPr>
          <w:rFonts w:ascii="Arial" w:hAnsi="Arial" w:cs="Arial"/>
          <w:bCs/>
          <w:sz w:val="24"/>
          <w:szCs w:val="24"/>
        </w:rPr>
        <w:t>ivil de</w:t>
      </w:r>
      <w:r w:rsidRPr="00CE2F19">
        <w:rPr>
          <w:rFonts w:ascii="Arial" w:hAnsi="Arial" w:cs="Arial"/>
          <w:bCs/>
          <w:sz w:val="24"/>
          <w:szCs w:val="24"/>
        </w:rPr>
        <w:t>l E</w:t>
      </w:r>
      <w:r w:rsidRPr="00CE2F19">
        <w:rPr>
          <w:rFonts w:ascii="Arial" w:hAnsi="Arial" w:cs="Arial"/>
          <w:bCs/>
          <w:sz w:val="24"/>
          <w:szCs w:val="24"/>
        </w:rPr>
        <w:t>stado de Yucatán</w:t>
      </w:r>
      <w:r w:rsidRPr="00CE2F19">
        <w:rPr>
          <w:rFonts w:ascii="Arial" w:hAnsi="Arial" w:cs="Arial"/>
          <w:bCs/>
          <w:sz w:val="24"/>
          <w:szCs w:val="24"/>
        </w:rPr>
        <w:t>,</w:t>
      </w:r>
      <w:r w:rsidRPr="00CE2F19">
        <w:rPr>
          <w:bCs/>
          <w:sz w:val="24"/>
          <w:szCs w:val="24"/>
        </w:rPr>
        <w:t xml:space="preserve"> </w:t>
      </w:r>
      <w:r w:rsidRPr="00CE2F19">
        <w:rPr>
          <w:rFonts w:ascii="Arial" w:hAnsi="Arial" w:cs="Arial"/>
          <w:bCs/>
          <w:sz w:val="24"/>
          <w:szCs w:val="24"/>
        </w:rPr>
        <w:t>para quedar como sigue:</w:t>
      </w:r>
    </w:p>
    <w:p w:rsidR="00CE2F19" w:rsidRPr="00CE2F19" w:rsidRDefault="00CE2F19" w:rsidP="00CE2F19">
      <w:pPr>
        <w:spacing w:line="360" w:lineRule="auto"/>
        <w:ind w:left="992" w:firstLine="708"/>
        <w:jc w:val="both"/>
        <w:rPr>
          <w:rFonts w:ascii="Arial" w:hAnsi="Arial" w:cs="Arial"/>
          <w:bCs/>
          <w:color w:val="000000"/>
          <w:sz w:val="24"/>
          <w:szCs w:val="24"/>
          <w:shd w:val="clear" w:color="auto" w:fill="FFFFFF"/>
        </w:rPr>
      </w:pPr>
      <w:r w:rsidRPr="00CE2F19">
        <w:rPr>
          <w:rFonts w:ascii="Arial" w:hAnsi="Arial" w:cs="Arial"/>
          <w:b/>
          <w:sz w:val="24"/>
          <w:szCs w:val="24"/>
        </w:rPr>
        <w:t>Artículo 1488.-</w:t>
      </w:r>
      <w:r w:rsidRPr="00CE2F19">
        <w:rPr>
          <w:rFonts w:ascii="Arial" w:hAnsi="Arial" w:cs="Arial"/>
          <w:sz w:val="24"/>
          <w:szCs w:val="24"/>
        </w:rPr>
        <w:t xml:space="preserve"> Es nula la donación que comprende la totalidad de los bienes del donante si éste no se reserva en propiedad o en usufructo lo necesario para vivir según sus circunstancias.</w:t>
      </w:r>
    </w:p>
    <w:p w:rsidR="00CE2F19" w:rsidRPr="00CE2F19" w:rsidRDefault="00CE2F19" w:rsidP="00CE2F19">
      <w:pPr>
        <w:spacing w:line="360" w:lineRule="auto"/>
        <w:ind w:leftChars="451" w:left="992" w:firstLine="1"/>
        <w:jc w:val="both"/>
        <w:rPr>
          <w:rFonts w:ascii="Arial" w:hAnsi="Arial" w:cs="Arial"/>
          <w:b/>
          <w:sz w:val="24"/>
          <w:szCs w:val="24"/>
        </w:rPr>
      </w:pPr>
      <w:r w:rsidRPr="00CE2F19">
        <w:rPr>
          <w:rFonts w:ascii="Arial" w:hAnsi="Arial" w:cs="Arial"/>
          <w:b/>
          <w:bCs/>
          <w:color w:val="000000"/>
          <w:sz w:val="24"/>
          <w:szCs w:val="24"/>
          <w:shd w:val="clear" w:color="auto" w:fill="FFFFFF"/>
        </w:rPr>
        <w:t>Cuando el o los donantes sean personas de 65 años o más, el notario que expida el instrumento público de donación, deberá incluir la cláusula de usufructo vitalicio sobre los bienes otorgados a los donatarios.</w:t>
      </w:r>
    </w:p>
    <w:p w:rsidR="00CE2F19" w:rsidRPr="00CE2F19" w:rsidRDefault="00CE2F19" w:rsidP="00CE2F19">
      <w:pPr>
        <w:spacing w:line="360" w:lineRule="auto"/>
        <w:jc w:val="center"/>
        <w:rPr>
          <w:rFonts w:ascii="Arial" w:eastAsia="Calibri" w:hAnsi="Arial" w:cs="Arial"/>
          <w:b/>
          <w:sz w:val="24"/>
          <w:szCs w:val="24"/>
        </w:rPr>
      </w:pPr>
      <w:r w:rsidRPr="00CE2F19">
        <w:rPr>
          <w:rFonts w:ascii="Arial" w:eastAsia="Calibri" w:hAnsi="Arial" w:cs="Arial"/>
          <w:b/>
          <w:sz w:val="24"/>
          <w:szCs w:val="24"/>
        </w:rPr>
        <w:t>TRANSITORIOS</w:t>
      </w:r>
    </w:p>
    <w:p w:rsidR="00CE2F19" w:rsidRPr="00CE2F19" w:rsidRDefault="00CE2F19" w:rsidP="009879D3">
      <w:pPr>
        <w:spacing w:line="360" w:lineRule="auto"/>
        <w:ind w:firstLine="708"/>
        <w:jc w:val="both"/>
        <w:rPr>
          <w:rFonts w:ascii="Arial" w:eastAsia="Arial" w:hAnsi="Arial" w:cs="Arial"/>
          <w:sz w:val="24"/>
          <w:szCs w:val="24"/>
        </w:rPr>
      </w:pPr>
      <w:r w:rsidRPr="00CE2F19">
        <w:rPr>
          <w:rFonts w:ascii="Arial" w:eastAsia="Arial" w:hAnsi="Arial" w:cs="Arial"/>
          <w:b/>
          <w:sz w:val="24"/>
          <w:szCs w:val="24"/>
        </w:rPr>
        <w:t xml:space="preserve">ÚNICO. </w:t>
      </w:r>
      <w:r w:rsidRPr="00CE2F19">
        <w:rPr>
          <w:rFonts w:ascii="Arial" w:eastAsia="Arial" w:hAnsi="Arial" w:cs="Arial"/>
          <w:sz w:val="24"/>
          <w:szCs w:val="24"/>
        </w:rPr>
        <w:t>El presente Decreto entrará en vigor al día siguiente al d</w:t>
      </w:r>
      <w:r>
        <w:rPr>
          <w:rFonts w:ascii="Arial" w:eastAsia="Arial" w:hAnsi="Arial" w:cs="Arial"/>
          <w:sz w:val="24"/>
          <w:szCs w:val="24"/>
        </w:rPr>
        <w:t xml:space="preserve">e su </w:t>
      </w:r>
      <w:r w:rsidRPr="00CE2F19">
        <w:rPr>
          <w:rFonts w:ascii="Arial" w:eastAsia="Arial" w:hAnsi="Arial" w:cs="Arial"/>
          <w:sz w:val="24"/>
          <w:szCs w:val="24"/>
        </w:rPr>
        <w:t>publicación en el Diario</w:t>
      </w:r>
      <w:r w:rsidRPr="00CE2F19">
        <w:rPr>
          <w:rFonts w:ascii="Arial" w:eastAsia="Arial" w:hAnsi="Arial" w:cs="Arial"/>
          <w:sz w:val="24"/>
          <w:szCs w:val="24"/>
        </w:rPr>
        <w:t xml:space="preserve"> Oficial del Estado.</w:t>
      </w:r>
    </w:p>
    <w:p w:rsidR="00CE2F19" w:rsidRPr="00031E92" w:rsidRDefault="00CE2F19" w:rsidP="00CE2F19">
      <w:pPr>
        <w:spacing w:line="360" w:lineRule="auto"/>
        <w:contextualSpacing/>
        <w:jc w:val="both"/>
        <w:rPr>
          <w:rFonts w:ascii="Arial" w:eastAsia="Calibri" w:hAnsi="Arial" w:cs="Arial"/>
        </w:rPr>
      </w:pPr>
    </w:p>
    <w:p w:rsidR="008E7368" w:rsidRPr="00CE2F19" w:rsidRDefault="008E7368" w:rsidP="009879D3">
      <w:pPr>
        <w:spacing w:line="360" w:lineRule="auto"/>
        <w:ind w:firstLine="708"/>
        <w:jc w:val="both"/>
        <w:rPr>
          <w:rFonts w:ascii="Arial" w:hAnsi="Arial" w:cs="Arial"/>
          <w:sz w:val="24"/>
          <w:szCs w:val="26"/>
        </w:rPr>
      </w:pPr>
      <w:r w:rsidRPr="00CE2F19">
        <w:rPr>
          <w:rFonts w:ascii="Arial" w:hAnsi="Arial" w:cs="Arial"/>
          <w:sz w:val="24"/>
          <w:szCs w:val="26"/>
        </w:rPr>
        <w:t>Dado en la sede del Recinto del Poder Legislativo,</w:t>
      </w:r>
      <w:r w:rsidR="009879D3">
        <w:rPr>
          <w:rFonts w:ascii="Arial" w:hAnsi="Arial" w:cs="Arial"/>
          <w:sz w:val="24"/>
          <w:szCs w:val="26"/>
        </w:rPr>
        <w:t xml:space="preserve"> protesto lo necesario</w:t>
      </w:r>
      <w:r w:rsidRPr="00CE2F19">
        <w:rPr>
          <w:rFonts w:ascii="Arial" w:hAnsi="Arial" w:cs="Arial"/>
          <w:sz w:val="24"/>
          <w:szCs w:val="26"/>
        </w:rPr>
        <w:t xml:space="preserve"> en la ciudad de Mérida, Yucatán, Es</w:t>
      </w:r>
      <w:r w:rsidR="007C7086" w:rsidRPr="00CE2F19">
        <w:rPr>
          <w:rFonts w:ascii="Arial" w:hAnsi="Arial" w:cs="Arial"/>
          <w:sz w:val="24"/>
          <w:szCs w:val="26"/>
        </w:rPr>
        <w:t>tados Unidos Mexicanos, al día 18</w:t>
      </w:r>
      <w:r w:rsidRPr="00CE2F19">
        <w:rPr>
          <w:rFonts w:ascii="Arial" w:hAnsi="Arial" w:cs="Arial"/>
          <w:sz w:val="24"/>
          <w:szCs w:val="26"/>
        </w:rPr>
        <w:t xml:space="preserve"> del mes de </w:t>
      </w:r>
      <w:r w:rsidR="007C7086" w:rsidRPr="00CE2F19">
        <w:rPr>
          <w:rFonts w:ascii="Arial" w:hAnsi="Arial" w:cs="Arial"/>
          <w:sz w:val="24"/>
          <w:szCs w:val="26"/>
        </w:rPr>
        <w:t>septiembre de 2020</w:t>
      </w:r>
      <w:r w:rsidRPr="00CE2F19">
        <w:rPr>
          <w:rFonts w:ascii="Arial" w:hAnsi="Arial" w:cs="Arial"/>
          <w:sz w:val="24"/>
          <w:szCs w:val="26"/>
        </w:rPr>
        <w:t>.</w:t>
      </w:r>
    </w:p>
    <w:p w:rsidR="008E7368" w:rsidRDefault="008E7368" w:rsidP="009879D3">
      <w:pPr>
        <w:spacing w:after="0"/>
        <w:rPr>
          <w:rFonts w:ascii="Arial" w:hAnsi="Arial" w:cs="Arial"/>
          <w:sz w:val="24"/>
          <w:szCs w:val="24"/>
        </w:rPr>
      </w:pPr>
    </w:p>
    <w:p w:rsidR="009879D3" w:rsidRDefault="009879D3" w:rsidP="009879D3">
      <w:pPr>
        <w:spacing w:after="0"/>
        <w:rPr>
          <w:rFonts w:ascii="Arial" w:hAnsi="Arial" w:cs="Arial"/>
          <w:sz w:val="24"/>
          <w:szCs w:val="24"/>
        </w:rPr>
      </w:pPr>
    </w:p>
    <w:p w:rsidR="00F23E19" w:rsidRDefault="00F23E19" w:rsidP="009879D3">
      <w:pPr>
        <w:spacing w:after="0"/>
        <w:rPr>
          <w:rFonts w:ascii="Arial" w:hAnsi="Arial" w:cs="Arial"/>
          <w:sz w:val="24"/>
          <w:szCs w:val="24"/>
        </w:rPr>
      </w:pPr>
    </w:p>
    <w:p w:rsidR="009879D3" w:rsidRPr="00F10A16" w:rsidRDefault="009879D3" w:rsidP="009879D3">
      <w:pPr>
        <w:spacing w:after="0"/>
        <w:rPr>
          <w:rFonts w:ascii="Arial" w:hAnsi="Arial" w:cs="Arial"/>
          <w:sz w:val="24"/>
          <w:szCs w:val="24"/>
        </w:rPr>
      </w:pPr>
    </w:p>
    <w:p w:rsidR="009879D3" w:rsidRDefault="008E7368" w:rsidP="009879D3">
      <w:pPr>
        <w:spacing w:after="0"/>
        <w:jc w:val="center"/>
        <w:rPr>
          <w:rFonts w:ascii="Arial" w:hAnsi="Arial" w:cs="Arial"/>
          <w:b/>
        </w:rPr>
      </w:pPr>
      <w:r w:rsidRPr="00F10A16">
        <w:rPr>
          <w:rFonts w:ascii="Arial" w:hAnsi="Arial" w:cs="Arial"/>
          <w:b/>
        </w:rPr>
        <w:t>DIPUTADA ROSA ADRIANA DIAZ LIZAMA</w:t>
      </w:r>
      <w:r w:rsidR="009879D3">
        <w:rPr>
          <w:rFonts w:ascii="Arial" w:hAnsi="Arial" w:cs="Arial"/>
          <w:b/>
        </w:rPr>
        <w:t xml:space="preserve"> </w:t>
      </w:r>
    </w:p>
    <w:p w:rsidR="008E7368" w:rsidRPr="00F10A16" w:rsidRDefault="008E7368" w:rsidP="009879D3">
      <w:pPr>
        <w:spacing w:after="0"/>
        <w:jc w:val="center"/>
        <w:rPr>
          <w:rFonts w:ascii="Arial" w:hAnsi="Arial" w:cs="Arial"/>
          <w:b/>
        </w:rPr>
      </w:pPr>
      <w:r w:rsidRPr="00F10A16">
        <w:rPr>
          <w:rFonts w:ascii="Arial" w:hAnsi="Arial" w:cs="Arial"/>
          <w:b/>
        </w:rPr>
        <w:t>COORDINADORA DE LA FRACCIÓN LEGISLATIVA DEL PARTIDO ACCIÓN NACIONAL</w:t>
      </w:r>
    </w:p>
    <w:p w:rsidR="008E7368" w:rsidRPr="008E7368" w:rsidRDefault="008E7368" w:rsidP="006C10BE">
      <w:pPr>
        <w:spacing w:line="360" w:lineRule="auto"/>
        <w:jc w:val="both"/>
        <w:rPr>
          <w:rFonts w:ascii="Arial" w:hAnsi="Arial" w:cs="Arial"/>
          <w:sz w:val="24"/>
          <w:szCs w:val="24"/>
        </w:rPr>
      </w:pPr>
    </w:p>
    <w:sectPr w:rsidR="008E7368" w:rsidRPr="008E736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B12" w:rsidRDefault="00E61B12" w:rsidP="00EF3D69">
      <w:pPr>
        <w:spacing w:after="0" w:line="240" w:lineRule="auto"/>
      </w:pPr>
      <w:r>
        <w:separator/>
      </w:r>
    </w:p>
  </w:endnote>
  <w:endnote w:type="continuationSeparator" w:id="0">
    <w:p w:rsidR="00E61B12" w:rsidRDefault="00E61B12" w:rsidP="00EF3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B12" w:rsidRDefault="00E61B12" w:rsidP="00EF3D69">
      <w:pPr>
        <w:spacing w:after="0" w:line="240" w:lineRule="auto"/>
      </w:pPr>
      <w:r>
        <w:separator/>
      </w:r>
    </w:p>
  </w:footnote>
  <w:footnote w:type="continuationSeparator" w:id="0">
    <w:p w:rsidR="00E61B12" w:rsidRDefault="00E61B12" w:rsidP="00EF3D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A2A53"/>
    <w:multiLevelType w:val="hybridMultilevel"/>
    <w:tmpl w:val="099A9504"/>
    <w:lvl w:ilvl="0" w:tplc="270E9524">
      <w:start w:val="1"/>
      <w:numFmt w:val="upperRoman"/>
      <w:lvlText w:val="%1."/>
      <w:lvlJc w:val="right"/>
      <w:pPr>
        <w:ind w:left="720" w:hanging="360"/>
      </w:pPr>
      <w:rPr>
        <w:rFonts w:ascii="Arial" w:eastAsia="Calibri" w:hAnsi="Arial" w:cs="Arial"/>
        <w:b/>
        <w:i w:val="0"/>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AA31E18"/>
    <w:multiLevelType w:val="hybridMultilevel"/>
    <w:tmpl w:val="FD040F04"/>
    <w:lvl w:ilvl="0" w:tplc="8A045E22">
      <w:start w:val="1"/>
      <w:numFmt w:val="upperRoman"/>
      <w:lvlText w:val="%1."/>
      <w:lvlJc w:val="left"/>
      <w:pPr>
        <w:ind w:left="1080" w:hanging="720"/>
      </w:pPr>
      <w:rPr>
        <w:rFonts w:ascii="Arial" w:eastAsia="Calibri" w:hAnsi="Arial"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0407E61"/>
    <w:multiLevelType w:val="hybridMultilevel"/>
    <w:tmpl w:val="9CD643A6"/>
    <w:lvl w:ilvl="0" w:tplc="B150BD00">
      <w:start w:val="1"/>
      <w:numFmt w:val="upperRoman"/>
      <w:lvlText w:val="%1."/>
      <w:lvlJc w:val="right"/>
      <w:pPr>
        <w:ind w:left="928"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B1D3D2C"/>
    <w:multiLevelType w:val="hybridMultilevel"/>
    <w:tmpl w:val="26363EF2"/>
    <w:lvl w:ilvl="0" w:tplc="6D3ADFBA">
      <w:start w:val="1"/>
      <w:numFmt w:val="upperRoman"/>
      <w:lvlText w:val="%1."/>
      <w:lvlJc w:val="right"/>
      <w:pPr>
        <w:ind w:left="436" w:hanging="360"/>
      </w:pPr>
      <w:rPr>
        <w:rFonts w:ascii="Arial" w:eastAsia="Calibri" w:hAnsi="Arial" w:cs="Arial"/>
        <w:b/>
      </w:rPr>
    </w:lvl>
    <w:lvl w:ilvl="1" w:tplc="080A0019" w:tentative="1">
      <w:start w:val="1"/>
      <w:numFmt w:val="lowerLetter"/>
      <w:lvlText w:val="%2."/>
      <w:lvlJc w:val="left"/>
      <w:pPr>
        <w:ind w:left="1156" w:hanging="360"/>
      </w:pPr>
    </w:lvl>
    <w:lvl w:ilvl="2" w:tplc="080A001B" w:tentative="1">
      <w:start w:val="1"/>
      <w:numFmt w:val="lowerRoman"/>
      <w:lvlText w:val="%3."/>
      <w:lvlJc w:val="right"/>
      <w:pPr>
        <w:ind w:left="1876" w:hanging="180"/>
      </w:pPr>
    </w:lvl>
    <w:lvl w:ilvl="3" w:tplc="080A000F" w:tentative="1">
      <w:start w:val="1"/>
      <w:numFmt w:val="decimal"/>
      <w:lvlText w:val="%4."/>
      <w:lvlJc w:val="left"/>
      <w:pPr>
        <w:ind w:left="2596" w:hanging="360"/>
      </w:pPr>
    </w:lvl>
    <w:lvl w:ilvl="4" w:tplc="080A0019" w:tentative="1">
      <w:start w:val="1"/>
      <w:numFmt w:val="lowerLetter"/>
      <w:lvlText w:val="%5."/>
      <w:lvlJc w:val="left"/>
      <w:pPr>
        <w:ind w:left="3316" w:hanging="360"/>
      </w:pPr>
    </w:lvl>
    <w:lvl w:ilvl="5" w:tplc="080A001B" w:tentative="1">
      <w:start w:val="1"/>
      <w:numFmt w:val="lowerRoman"/>
      <w:lvlText w:val="%6."/>
      <w:lvlJc w:val="right"/>
      <w:pPr>
        <w:ind w:left="4036" w:hanging="180"/>
      </w:pPr>
    </w:lvl>
    <w:lvl w:ilvl="6" w:tplc="080A000F" w:tentative="1">
      <w:start w:val="1"/>
      <w:numFmt w:val="decimal"/>
      <w:lvlText w:val="%7."/>
      <w:lvlJc w:val="left"/>
      <w:pPr>
        <w:ind w:left="4756" w:hanging="360"/>
      </w:pPr>
    </w:lvl>
    <w:lvl w:ilvl="7" w:tplc="080A0019" w:tentative="1">
      <w:start w:val="1"/>
      <w:numFmt w:val="lowerLetter"/>
      <w:lvlText w:val="%8."/>
      <w:lvlJc w:val="left"/>
      <w:pPr>
        <w:ind w:left="5476" w:hanging="360"/>
      </w:pPr>
    </w:lvl>
    <w:lvl w:ilvl="8" w:tplc="080A001B" w:tentative="1">
      <w:start w:val="1"/>
      <w:numFmt w:val="lowerRoman"/>
      <w:lvlText w:val="%9."/>
      <w:lvlJc w:val="right"/>
      <w:pPr>
        <w:ind w:left="6196" w:hanging="180"/>
      </w:pPr>
    </w:lvl>
  </w:abstractNum>
  <w:abstractNum w:abstractNumId="4">
    <w:nsid w:val="33E93677"/>
    <w:multiLevelType w:val="hybridMultilevel"/>
    <w:tmpl w:val="9DD22720"/>
    <w:lvl w:ilvl="0" w:tplc="40E62534">
      <w:start w:val="1"/>
      <w:numFmt w:val="upperRoman"/>
      <w:lvlText w:val="%1."/>
      <w:lvlJc w:val="left"/>
      <w:pPr>
        <w:ind w:left="1429" w:hanging="720"/>
      </w:pPr>
      <w:rPr>
        <w:rFonts w:hint="default"/>
        <w:b/>
        <w:sz w:val="24"/>
        <w:szCs w:val="24"/>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nsid w:val="3E2A0240"/>
    <w:multiLevelType w:val="hybridMultilevel"/>
    <w:tmpl w:val="A10482F8"/>
    <w:lvl w:ilvl="0" w:tplc="005033C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50ED4DBC"/>
    <w:multiLevelType w:val="hybridMultilevel"/>
    <w:tmpl w:val="C07CE2F2"/>
    <w:lvl w:ilvl="0" w:tplc="07324BA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7A346550"/>
    <w:multiLevelType w:val="hybridMultilevel"/>
    <w:tmpl w:val="4E7A18A0"/>
    <w:lvl w:ilvl="0" w:tplc="12988EA8">
      <w:start w:val="1"/>
      <w:numFmt w:val="upperRoman"/>
      <w:lvlText w:val="%1."/>
      <w:lvlJc w:val="right"/>
      <w:pPr>
        <w:ind w:left="720" w:hanging="360"/>
      </w:pPr>
      <w:rPr>
        <w:b/>
        <w:strike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7"/>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0BE"/>
    <w:rsid w:val="0003508E"/>
    <w:rsid w:val="00101535"/>
    <w:rsid w:val="001532D2"/>
    <w:rsid w:val="001E6BBE"/>
    <w:rsid w:val="001F4D65"/>
    <w:rsid w:val="002049F1"/>
    <w:rsid w:val="00333D5C"/>
    <w:rsid w:val="00470315"/>
    <w:rsid w:val="004E7328"/>
    <w:rsid w:val="00524EF4"/>
    <w:rsid w:val="006C10BE"/>
    <w:rsid w:val="006E0210"/>
    <w:rsid w:val="0071044F"/>
    <w:rsid w:val="00736A62"/>
    <w:rsid w:val="007C7086"/>
    <w:rsid w:val="008D2306"/>
    <w:rsid w:val="008E7368"/>
    <w:rsid w:val="0098145F"/>
    <w:rsid w:val="009879D3"/>
    <w:rsid w:val="009C70E2"/>
    <w:rsid w:val="00A4727E"/>
    <w:rsid w:val="00AB40EB"/>
    <w:rsid w:val="00BA2699"/>
    <w:rsid w:val="00BD7F8F"/>
    <w:rsid w:val="00CE2F19"/>
    <w:rsid w:val="00CF4F8C"/>
    <w:rsid w:val="00DE0CE7"/>
    <w:rsid w:val="00E52D83"/>
    <w:rsid w:val="00E61B12"/>
    <w:rsid w:val="00EB67BC"/>
    <w:rsid w:val="00EC2741"/>
    <w:rsid w:val="00ED4518"/>
    <w:rsid w:val="00EF3D69"/>
    <w:rsid w:val="00F20B66"/>
    <w:rsid w:val="00F23E19"/>
    <w:rsid w:val="00FB0B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03508E"/>
    <w:rPr>
      <w:color w:val="0000FF"/>
      <w:u w:val="single"/>
    </w:rPr>
  </w:style>
  <w:style w:type="paragraph" w:styleId="Textocomentario">
    <w:name w:val="annotation text"/>
    <w:basedOn w:val="Normal"/>
    <w:link w:val="TextocomentarioCar"/>
    <w:uiPriority w:val="99"/>
    <w:unhideWhenUsed/>
    <w:rsid w:val="00E52D8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rsid w:val="00E52D83"/>
    <w:rPr>
      <w:rFonts w:ascii="Times New Roman" w:eastAsia="Times New Roman" w:hAnsi="Times New Roman" w:cs="Times New Roman"/>
      <w:sz w:val="20"/>
      <w:szCs w:val="20"/>
      <w:lang w:val="es-ES" w:eastAsia="es-ES"/>
    </w:rPr>
  </w:style>
  <w:style w:type="character" w:styleId="Textoennegrita">
    <w:name w:val="Strong"/>
    <w:uiPriority w:val="22"/>
    <w:qFormat/>
    <w:rsid w:val="00E52D83"/>
    <w:rPr>
      <w:b/>
      <w:bCs/>
    </w:rPr>
  </w:style>
  <w:style w:type="character" w:customStyle="1" w:styleId="apple-converted-space">
    <w:name w:val="apple-converted-space"/>
    <w:rsid w:val="00E52D83"/>
  </w:style>
  <w:style w:type="character" w:styleId="nfasis">
    <w:name w:val="Emphasis"/>
    <w:uiPriority w:val="20"/>
    <w:qFormat/>
    <w:rsid w:val="00E52D83"/>
    <w:rPr>
      <w:i/>
      <w:iCs/>
    </w:rPr>
  </w:style>
  <w:style w:type="paragraph" w:styleId="Textonotapie">
    <w:name w:val="footnote text"/>
    <w:basedOn w:val="Normal"/>
    <w:link w:val="TextonotapieCar"/>
    <w:uiPriority w:val="99"/>
    <w:semiHidden/>
    <w:unhideWhenUsed/>
    <w:rsid w:val="00EF3D6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F3D69"/>
    <w:rPr>
      <w:sz w:val="20"/>
      <w:szCs w:val="20"/>
    </w:rPr>
  </w:style>
  <w:style w:type="character" w:styleId="Refdenotaalpie">
    <w:name w:val="footnote reference"/>
    <w:basedOn w:val="Fuentedeprrafopredeter"/>
    <w:uiPriority w:val="99"/>
    <w:semiHidden/>
    <w:unhideWhenUsed/>
    <w:rsid w:val="00EF3D69"/>
    <w:rPr>
      <w:vertAlign w:val="superscript"/>
    </w:rPr>
  </w:style>
  <w:style w:type="character" w:styleId="Refdecomentario">
    <w:name w:val="annotation reference"/>
    <w:uiPriority w:val="99"/>
    <w:semiHidden/>
    <w:unhideWhenUsed/>
    <w:rsid w:val="00ED4518"/>
    <w:rPr>
      <w:sz w:val="16"/>
      <w:szCs w:val="16"/>
    </w:rPr>
  </w:style>
  <w:style w:type="paragraph" w:styleId="Textodeglobo">
    <w:name w:val="Balloon Text"/>
    <w:basedOn w:val="Normal"/>
    <w:link w:val="TextodegloboCar"/>
    <w:uiPriority w:val="99"/>
    <w:semiHidden/>
    <w:unhideWhenUsed/>
    <w:rsid w:val="00ED451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D4518"/>
    <w:rPr>
      <w:rFonts w:ascii="Tahoma" w:hAnsi="Tahoma" w:cs="Tahoma"/>
      <w:sz w:val="16"/>
      <w:szCs w:val="16"/>
    </w:rPr>
  </w:style>
  <w:style w:type="paragraph" w:styleId="NormalWeb">
    <w:name w:val="Normal (Web)"/>
    <w:basedOn w:val="Normal"/>
    <w:uiPriority w:val="99"/>
    <w:rsid w:val="007C7086"/>
    <w:pPr>
      <w:suppressAutoHyphens/>
      <w:spacing w:before="100" w:beforeAutospacing="1" w:after="100" w:afterAutospacing="1"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03508E"/>
    <w:rPr>
      <w:color w:val="0000FF"/>
      <w:u w:val="single"/>
    </w:rPr>
  </w:style>
  <w:style w:type="paragraph" w:styleId="Textocomentario">
    <w:name w:val="annotation text"/>
    <w:basedOn w:val="Normal"/>
    <w:link w:val="TextocomentarioCar"/>
    <w:uiPriority w:val="99"/>
    <w:unhideWhenUsed/>
    <w:rsid w:val="00E52D8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rsid w:val="00E52D83"/>
    <w:rPr>
      <w:rFonts w:ascii="Times New Roman" w:eastAsia="Times New Roman" w:hAnsi="Times New Roman" w:cs="Times New Roman"/>
      <w:sz w:val="20"/>
      <w:szCs w:val="20"/>
      <w:lang w:val="es-ES" w:eastAsia="es-ES"/>
    </w:rPr>
  </w:style>
  <w:style w:type="character" w:styleId="Textoennegrita">
    <w:name w:val="Strong"/>
    <w:uiPriority w:val="22"/>
    <w:qFormat/>
    <w:rsid w:val="00E52D83"/>
    <w:rPr>
      <w:b/>
      <w:bCs/>
    </w:rPr>
  </w:style>
  <w:style w:type="character" w:customStyle="1" w:styleId="apple-converted-space">
    <w:name w:val="apple-converted-space"/>
    <w:rsid w:val="00E52D83"/>
  </w:style>
  <w:style w:type="character" w:styleId="nfasis">
    <w:name w:val="Emphasis"/>
    <w:uiPriority w:val="20"/>
    <w:qFormat/>
    <w:rsid w:val="00E52D83"/>
    <w:rPr>
      <w:i/>
      <w:iCs/>
    </w:rPr>
  </w:style>
  <w:style w:type="paragraph" w:styleId="Textonotapie">
    <w:name w:val="footnote text"/>
    <w:basedOn w:val="Normal"/>
    <w:link w:val="TextonotapieCar"/>
    <w:uiPriority w:val="99"/>
    <w:semiHidden/>
    <w:unhideWhenUsed/>
    <w:rsid w:val="00EF3D6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F3D69"/>
    <w:rPr>
      <w:sz w:val="20"/>
      <w:szCs w:val="20"/>
    </w:rPr>
  </w:style>
  <w:style w:type="character" w:styleId="Refdenotaalpie">
    <w:name w:val="footnote reference"/>
    <w:basedOn w:val="Fuentedeprrafopredeter"/>
    <w:uiPriority w:val="99"/>
    <w:semiHidden/>
    <w:unhideWhenUsed/>
    <w:rsid w:val="00EF3D69"/>
    <w:rPr>
      <w:vertAlign w:val="superscript"/>
    </w:rPr>
  </w:style>
  <w:style w:type="character" w:styleId="Refdecomentario">
    <w:name w:val="annotation reference"/>
    <w:uiPriority w:val="99"/>
    <w:semiHidden/>
    <w:unhideWhenUsed/>
    <w:rsid w:val="00ED4518"/>
    <w:rPr>
      <w:sz w:val="16"/>
      <w:szCs w:val="16"/>
    </w:rPr>
  </w:style>
  <w:style w:type="paragraph" w:styleId="Textodeglobo">
    <w:name w:val="Balloon Text"/>
    <w:basedOn w:val="Normal"/>
    <w:link w:val="TextodegloboCar"/>
    <w:uiPriority w:val="99"/>
    <w:semiHidden/>
    <w:unhideWhenUsed/>
    <w:rsid w:val="00ED451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D4518"/>
    <w:rPr>
      <w:rFonts w:ascii="Tahoma" w:hAnsi="Tahoma" w:cs="Tahoma"/>
      <w:sz w:val="16"/>
      <w:szCs w:val="16"/>
    </w:rPr>
  </w:style>
  <w:style w:type="paragraph" w:styleId="NormalWeb">
    <w:name w:val="Normal (Web)"/>
    <w:basedOn w:val="Normal"/>
    <w:uiPriority w:val="99"/>
    <w:rsid w:val="007C7086"/>
    <w:pPr>
      <w:suppressAutoHyphens/>
      <w:spacing w:before="100" w:beforeAutospacing="1" w:after="100" w:afterAutospacing="1"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FE487-7085-43A5-8D05-338A5585A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968</Words>
  <Characters>5327</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6283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2</cp:revision>
  <cp:lastPrinted>2020-09-18T16:20:00Z</cp:lastPrinted>
  <dcterms:created xsi:type="dcterms:W3CDTF">2020-09-18T16:54:00Z</dcterms:created>
  <dcterms:modified xsi:type="dcterms:W3CDTF">2020-09-18T16:54:00Z</dcterms:modified>
</cp:coreProperties>
</file>